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2024 II/1 vom 19. Februar 2024</w:t>
      </w:r>
    </w:p>
    <w:p>
      <w:r>
        <w:t>Bundesverwaltungsgericht, 2024-02-19, DE</w:t>
      </w:r>
    </w:p>
    <w:p>
      <w:r>
        <w:rPr>
          <w:b/>
        </w:rPr>
        <w:t xml:space="preserve">Quelle: </w:t>
      </w:r>
      <w:r>
        <w:t>https://mcp.opencaselaw.ch/entscheid/bvger_BVGE 2024 II_1</w:t>
      </w:r>
    </w:p>
    <w:p>
      <w:r>
        <w:t>FR: TAF BVGE 2024 II/1 du 19 février 2024</w:t>
      </w:r>
    </w:p>
    <w:p>
      <w:r>
        <w:t>IT: TAF BVGE 2024 II/1 del 19 febbraio 2024</w:t>
      </w:r>
    </w:p>
    <w:p>
      <w:pPr>
        <w:pStyle w:val="Heading2"/>
      </w:pPr>
      <w:r>
        <w:t>Regeste</w:t>
      </w:r>
    </w:p>
    <w:p>
      <w:r>
        <w:t>Elektrische Anlagen (Übriges)</w:t>
      </w:r>
    </w:p>
    <w:p>
      <w:pPr>
        <w:pStyle w:val="Heading2"/>
      </w:pPr>
      <w:r>
        <w:t>Erwägungen</w:t>
      </w:r>
    </w:p>
    <w:p>
      <w:r>
        <w:rPr>
          <w:b/>
        </w:rPr>
        <w:t>E. 1</w:t>
      </w:r>
    </w:p>
    <w:p>
      <w:r>
        <w:t>Akzessorische Normenkontrolle einer unselbstständigen Verordnung in formeller und materieller Hinsicht (E. 5).</w:t>
      </w:r>
    </w:p>
    <w:p>
      <w:r>
        <w:rPr>
          <w:b/>
        </w:rPr>
        <w:t>E. 2</w:t>
      </w:r>
    </w:p>
    <w:p>
      <w:r>
        <w:t>Ob eine schwere Mangellage als Voraussetzung für wirtschaftliche Interventionsmassnahmen vorliegt, bestimmt sich nach dem Ausmass und der Wahrscheinlichkeit einer Beeinträchtigung der wirtschaftlichen Landesversorgung und nach der Schwere des volkswirtschaftlichen Schadens (E. 6).</w:t>
      </w:r>
    </w:p>
    <w:p>
      <w:r>
        <w:rPr>
          <w:b/>
        </w:rPr>
        <w:t>E. 3</w:t>
      </w:r>
    </w:p>
    <w:p>
      <w:r>
        <w:t>Die Beurteilung der Versorgungslage hat zu einem Zeitpunkt zu erfolgen, in dem die Unsicherheiten über zu treffende Annahmen möglichst gering sind und - unter Berücksichtigung möglicher Alternativen - noch wirksame Massnahmen getroffen werden können (E. 7).</w:t>
      </w:r>
    </w:p>
    <w:p>
      <w:r>
        <w:rPr>
          <w:b/>
        </w:rPr>
        <w:t>E. 4</w:t>
      </w:r>
    </w:p>
    <w:p>
      <w:r>
        <w:t>Das Landesversorgungsgesetz sieht gegen Verfügungen über wirtschaftliche Interventionsmassnahmen Rechtsschutz vor und die Behörde hat in grundsätzlicher Weise darzulegen, von welchen Annahmen sie in Bezug auf die Versorgungslage ausgeht und nach welchen Kriterien sie die Wahrscheinlichkeit einer Beeinträchtigung der Versorgung beurteilt (E. 8.2). Aufgrund der Angaben von Bundesrat und Vorinstanz kann das Vorliegen einer schweren Mangellage nicht als erstellt gelten. Der Bundesrat war in formeller Hinsicht nicht zum Erlass der Betriebsverordnung als Grundlage der Betriebsbewilligung berechtigt (E. 8.3).</w:t>
      </w:r>
    </w:p>
    <w:p>
      <w:r>
        <w:rPr>
          <w:b/>
        </w:rPr>
        <w:t>E. 5</w:t>
      </w:r>
    </w:p>
    <w:p>
      <w:r>
        <w:t>Wirtschaftliche Interventionsmassnahmen müssen verhältnismässig sein und stehen somit unter dem Vorbehalt einer Interessenabwägung. Der Bundesrat ist insbesondere im Bereich der Versorgung mit elektrischer Energie verpflichtet, alternative Massnahmen (einschliesslich Verbrauchsbeschränkungen) in Betracht zu ziehen (E. 9).</w:t>
      </w:r>
    </w:p>
    <w:p>
      <w:r>
        <w:rPr>
          <w:b/>
        </w:rPr>
        <w:t>E. 6</w:t>
      </w:r>
    </w:p>
    <w:p>
      <w:r>
        <w:t>Ausserhalb zeitlicher Dringlichkeit ist es nicht zweckmässig, die Anwendung von Bundesumweltrecht erst nach der Bereitstellung eines Reservekraftwerks im Rahmen der Erteilung der zeitlich befristeten Betriebsbewilligung vorzusehen (E. 10).</w:t>
      </w:r>
    </w:p>
    <w:p>
      <w:r>
        <w:rPr>
          <w:b/>
        </w:rPr>
        <w:t>E. 7</w:t>
      </w:r>
    </w:p>
    <w:p>
      <w:r>
        <w:t>Gemäss Art. 34 Abs. 1 LVG kann der Bundesrat für die Dauer von wirtschaftlichen Interventionsmassnahmen Bestimmungen anderer Erlasse vorübergehend für nicht anwendbar erklären, was auch kantonales Recht mit einschliesst (E. 11).</w:t>
      </w:r>
    </w:p>
    <w:p>
      <w:r>
        <w:t>Eidgenossenschaft Bundesverwaltungsgericht Conféderation Bundesverwaltungsgericht Confederazione Bundesverwaltungsgericht Abteilung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